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699" w:rsidRDefault="0031797C" w:rsidP="0031797C">
      <w:pPr>
        <w:pStyle w:val="Nagwek1"/>
      </w:pPr>
      <w:bookmarkStart w:id="0" w:name="_GoBack"/>
      <w:bookmarkEnd w:id="0"/>
      <w:r>
        <w:t>Delimitacja obszaru zdegradowanego</w:t>
      </w:r>
      <w:r w:rsidR="007333B3">
        <w:t xml:space="preserve"> i rewitalizacji</w:t>
      </w:r>
    </w:p>
    <w:p w:rsidR="0031797C" w:rsidRDefault="0031797C" w:rsidP="005E35C5">
      <w:pPr>
        <w:spacing w:after="0"/>
      </w:pPr>
    </w:p>
    <w:p w:rsidR="00656EE0" w:rsidRPr="00D31129" w:rsidRDefault="00656EE0" w:rsidP="00656EE0">
      <w:pPr>
        <w:pStyle w:val="Tekstpodstawowy"/>
        <w:ind w:right="-25"/>
        <w:jc w:val="both"/>
        <w:rPr>
          <w:rFonts w:asciiTheme="minorHAnsi" w:hAnsiTheme="minorHAnsi"/>
          <w:lang w:val="pl-PL"/>
        </w:rPr>
      </w:pPr>
      <w:r w:rsidRPr="00D31129">
        <w:rPr>
          <w:rFonts w:asciiTheme="minorHAnsi" w:hAnsiTheme="minorHAnsi"/>
          <w:lang w:val="pl-PL"/>
        </w:rPr>
        <w:t>Podstawą wyznaczenia obszarów zdegradowanych i rewitaliz</w:t>
      </w:r>
      <w:r>
        <w:rPr>
          <w:rFonts w:asciiTheme="minorHAnsi" w:hAnsiTheme="minorHAnsi"/>
          <w:lang w:val="pl-PL"/>
        </w:rPr>
        <w:t>acji jest analiza wskaźników we </w:t>
      </w:r>
      <w:r w:rsidRPr="00D31129">
        <w:rPr>
          <w:rFonts w:asciiTheme="minorHAnsi" w:hAnsiTheme="minorHAnsi"/>
          <w:lang w:val="pl-PL"/>
        </w:rPr>
        <w:t xml:space="preserve">wszystkich sferach tj. w społecznej, gospodarczej, przestrzenno-funkcjonalnej, technicznej oraz środowiskowej. </w:t>
      </w:r>
    </w:p>
    <w:p w:rsidR="00656EE0" w:rsidRPr="00D31129" w:rsidRDefault="00656EE0" w:rsidP="00656EE0">
      <w:pPr>
        <w:pStyle w:val="Tekstpodstawowy"/>
        <w:ind w:right="-25"/>
        <w:jc w:val="both"/>
        <w:rPr>
          <w:rFonts w:asciiTheme="minorHAnsi" w:hAnsiTheme="minorHAnsi"/>
          <w:lang w:val="pl-PL"/>
        </w:rPr>
      </w:pPr>
      <w:r w:rsidRPr="00D31129">
        <w:rPr>
          <w:rFonts w:asciiTheme="minorHAnsi" w:hAnsiTheme="minorHAnsi"/>
          <w:lang w:val="pl-PL"/>
        </w:rPr>
        <w:t>Następnym krokiem po wyliczeniu wskaźników jest normalizacja wskaźnik</w:t>
      </w:r>
      <w:r>
        <w:rPr>
          <w:rFonts w:asciiTheme="minorHAnsi" w:hAnsiTheme="minorHAnsi"/>
          <w:lang w:val="pl-PL"/>
        </w:rPr>
        <w:t>ów w każdej ze sfer w oparciu o </w:t>
      </w:r>
      <w:r w:rsidRPr="00D31129">
        <w:rPr>
          <w:rFonts w:asciiTheme="minorHAnsi" w:hAnsiTheme="minorHAnsi"/>
          <w:lang w:val="pl-PL"/>
        </w:rPr>
        <w:t>następujący wzór:</w:t>
      </w:r>
    </w:p>
    <w:p w:rsidR="00656EE0" w:rsidRPr="00D31129" w:rsidRDefault="007333B3" w:rsidP="00656EE0">
      <w:pPr>
        <w:jc w:val="both"/>
      </w:pPr>
      <m:oMathPara>
        <m:oMath>
          <m:sSub>
            <m:sSubPr>
              <m:ctrlPr>
                <w:rPr>
                  <w:rFonts w:ascii="Cambria Math" w:hAnsi="Cambria Math"/>
                </w:rPr>
              </m:ctrlPr>
            </m:sSubPr>
            <m:e>
              <m:r>
                <w:rPr>
                  <w:rFonts w:ascii="Cambria Math" w:hAnsi="Cambria Math"/>
                </w:rPr>
                <m:t>W</m:t>
              </m:r>
            </m:e>
            <m:sub>
              <m:r>
                <w:rPr>
                  <w:rFonts w:ascii="Cambria Math" w:hAnsi="Cambria Math"/>
                </w:rPr>
                <m:t>n</m:t>
              </m:r>
            </m:sub>
          </m:sSub>
          <m:r>
            <m:rPr>
              <m:sty m:val="p"/>
            </m:rPr>
            <w:rPr>
              <w:rFonts w:ascii="Cambria Math"/>
            </w:rPr>
            <m:t>=</m:t>
          </m:r>
          <m:f>
            <m:fPr>
              <m:ctrlPr>
                <w:rPr>
                  <w:rFonts w:ascii="Cambria Math" w:hAnsi="Cambria Math"/>
                </w:rPr>
              </m:ctrlPr>
            </m:fPr>
            <m:num>
              <m:sSub>
                <m:sSubPr>
                  <m:ctrlPr>
                    <w:rPr>
                      <w:rFonts w:ascii="Cambria Math" w:hAnsi="Cambria Math"/>
                    </w:rPr>
                  </m:ctrlPr>
                </m:sSubPr>
                <m:e>
                  <m:r>
                    <w:rPr>
                      <w:rFonts w:ascii="Cambria Math" w:hAnsi="Cambria Math"/>
                    </w:rPr>
                    <m:t>W</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ś</m:t>
                  </m:r>
                  <m:r>
                    <w:rPr>
                      <w:rFonts w:ascii="Cambria Math" w:hAnsi="Cambria Math"/>
                    </w:rPr>
                    <m:t>r</m:t>
                  </m:r>
                </m:sub>
              </m:sSub>
            </m:num>
            <m:den>
              <m:r>
                <w:rPr>
                  <w:rFonts w:ascii="Cambria Math" w:hAnsi="Cambria Math"/>
                </w:rPr>
                <m:t>σ</m:t>
              </m:r>
            </m:den>
          </m:f>
        </m:oMath>
      </m:oMathPara>
    </w:p>
    <w:p w:rsidR="00656EE0" w:rsidRPr="00D31129" w:rsidRDefault="00656EE0" w:rsidP="00656EE0">
      <w:pPr>
        <w:jc w:val="both"/>
      </w:pPr>
      <w:r w:rsidRPr="00D31129">
        <w:t>Gdzie:</w:t>
      </w:r>
    </w:p>
    <w:p w:rsidR="00656EE0" w:rsidRPr="00D31129" w:rsidRDefault="00656EE0" w:rsidP="00656EE0">
      <w:pPr>
        <w:jc w:val="both"/>
      </w:pPr>
      <w:proofErr w:type="spellStart"/>
      <w:r w:rsidRPr="00D31129">
        <w:t>W</w:t>
      </w:r>
      <w:r w:rsidRPr="00D31129">
        <w:rPr>
          <w:vertAlign w:val="subscript"/>
        </w:rPr>
        <w:t>n</w:t>
      </w:r>
      <w:proofErr w:type="spellEnd"/>
      <w:r w:rsidRPr="00D31129">
        <w:t xml:space="preserve"> – wskaźnik wystandaryzowany,</w:t>
      </w:r>
    </w:p>
    <w:p w:rsidR="00656EE0" w:rsidRPr="00D31129" w:rsidRDefault="00656EE0" w:rsidP="00656EE0">
      <w:pPr>
        <w:jc w:val="both"/>
      </w:pPr>
      <w:proofErr w:type="spellStart"/>
      <w:r w:rsidRPr="00D31129">
        <w:t>W</w:t>
      </w:r>
      <w:r w:rsidRPr="00D31129">
        <w:rPr>
          <w:vertAlign w:val="subscript"/>
        </w:rPr>
        <w:t>w</w:t>
      </w:r>
      <w:proofErr w:type="spellEnd"/>
      <w:r w:rsidRPr="00D31129">
        <w:t xml:space="preserve"> – wartość wskaźnika dla</w:t>
      </w:r>
      <w:r>
        <w:t xml:space="preserve"> danej jednostki analitycznej</w:t>
      </w:r>
      <w:r w:rsidRPr="00D31129">
        <w:t>,</w:t>
      </w:r>
    </w:p>
    <w:p w:rsidR="00656EE0" w:rsidRPr="00D31129" w:rsidRDefault="00656EE0" w:rsidP="00656EE0">
      <w:pPr>
        <w:jc w:val="both"/>
      </w:pPr>
      <w:proofErr w:type="spellStart"/>
      <w:r w:rsidRPr="00D31129">
        <w:t>W</w:t>
      </w:r>
      <w:r w:rsidRPr="00D31129">
        <w:rPr>
          <w:vertAlign w:val="subscript"/>
        </w:rPr>
        <w:t>śr</w:t>
      </w:r>
      <w:proofErr w:type="spellEnd"/>
      <w:r w:rsidRPr="00D31129">
        <w:t xml:space="preserve"> – średnia arytmetyczna wskaźnika dla </w:t>
      </w:r>
      <w:r>
        <w:t>gminy</w:t>
      </w:r>
      <w:r w:rsidRPr="00D31129">
        <w:t>,</w:t>
      </w:r>
    </w:p>
    <w:p w:rsidR="00656EE0" w:rsidRPr="00D31129" w:rsidRDefault="00656EE0" w:rsidP="00656EE0">
      <w:pPr>
        <w:jc w:val="both"/>
      </w:pPr>
      <w:r w:rsidRPr="00D31129">
        <w:t>σ – odchylenie standardowe wskaźnika.</w:t>
      </w:r>
    </w:p>
    <w:p w:rsidR="00656EE0" w:rsidRPr="00D31129" w:rsidRDefault="00B63995" w:rsidP="00656EE0">
      <w:pPr>
        <w:pStyle w:val="Tekstpodstawowy"/>
        <w:ind w:right="-25"/>
        <w:jc w:val="both"/>
        <w:rPr>
          <w:rFonts w:asciiTheme="minorHAnsi" w:hAnsiTheme="minorHAnsi"/>
          <w:lang w:val="pl-PL"/>
        </w:rPr>
      </w:pPr>
      <w:r>
        <w:rPr>
          <w:rFonts w:asciiTheme="minorHAnsi" w:hAnsiTheme="minorHAnsi"/>
          <w:lang w:val="pl-PL"/>
        </w:rPr>
        <w:t>Standaryzacja</w:t>
      </w:r>
      <w:r w:rsidR="00656EE0" w:rsidRPr="00D31129">
        <w:rPr>
          <w:rFonts w:asciiTheme="minorHAnsi" w:hAnsiTheme="minorHAnsi"/>
          <w:lang w:val="pl-PL"/>
        </w:rPr>
        <w:t xml:space="preserve"> wskaźnika oznacza jego odchylenie od jego wartość średniej dla </w:t>
      </w:r>
      <w:r w:rsidR="00656EE0">
        <w:rPr>
          <w:rFonts w:asciiTheme="minorHAnsi" w:hAnsiTheme="minorHAnsi"/>
          <w:lang w:val="pl-PL"/>
        </w:rPr>
        <w:t>gminy</w:t>
      </w:r>
      <w:r w:rsidR="00656EE0" w:rsidRPr="00D31129">
        <w:rPr>
          <w:rFonts w:asciiTheme="minorHAnsi" w:hAnsiTheme="minorHAnsi"/>
          <w:lang w:val="pl-PL"/>
        </w:rPr>
        <w:t xml:space="preserve">, która zawsze wynosi 0. Wartości znormalizowanych wskaźników mogą przyjmować wartości dodatnie lub ujemne. Wskaźniki dodatnie wskazują, które obszary w </w:t>
      </w:r>
      <w:r w:rsidR="00656EE0">
        <w:rPr>
          <w:rFonts w:asciiTheme="minorHAnsi" w:hAnsiTheme="minorHAnsi"/>
          <w:lang w:val="pl-PL"/>
        </w:rPr>
        <w:t>gminie</w:t>
      </w:r>
      <w:r w:rsidR="00656EE0" w:rsidRPr="00D31129">
        <w:rPr>
          <w:rFonts w:asciiTheme="minorHAnsi" w:hAnsiTheme="minorHAnsi"/>
          <w:lang w:val="pl-PL"/>
        </w:rPr>
        <w:t xml:space="preserve"> są zdegradowane w poszczególnych zagadnieniach, wartości ujemne natomiast wskazują na korzystniejszą sytuację na poszczególnych jednostkach. Normalizując wskaźniki należy również uwzględnić specyfikę wskaźników, tzn. im niższa wartość wskaźnika tym większy poziom degradacji, należy pomnożyć go przez (-)1.</w:t>
      </w:r>
    </w:p>
    <w:p w:rsidR="00656EE0" w:rsidRPr="00D31129" w:rsidRDefault="00656EE0" w:rsidP="00656EE0">
      <w:pPr>
        <w:pStyle w:val="Tekstpodstawowy"/>
        <w:ind w:right="-25"/>
        <w:jc w:val="both"/>
        <w:rPr>
          <w:rFonts w:asciiTheme="minorHAnsi" w:hAnsiTheme="minorHAnsi"/>
          <w:lang w:val="pl-PL"/>
        </w:rPr>
      </w:pPr>
      <w:r w:rsidRPr="00D31129">
        <w:rPr>
          <w:rFonts w:asciiTheme="minorHAnsi" w:hAnsiTheme="minorHAnsi"/>
          <w:lang w:val="pl-PL"/>
        </w:rPr>
        <w:t>Analiza wskaźników syntetycznych we wszystkich sferach umożliwia por</w:t>
      </w:r>
      <w:r>
        <w:rPr>
          <w:rFonts w:asciiTheme="minorHAnsi" w:hAnsiTheme="minorHAnsi"/>
          <w:lang w:val="pl-PL"/>
        </w:rPr>
        <w:t>ównanie jego wartości dla danej jednostki analitycznej</w:t>
      </w:r>
      <w:r w:rsidRPr="00D31129">
        <w:rPr>
          <w:rFonts w:asciiTheme="minorHAnsi" w:hAnsiTheme="minorHAnsi"/>
          <w:lang w:val="pl-PL"/>
        </w:rPr>
        <w:t>. Wysokie wartości wskaźnika syntetycznego w każdej sferze dla d</w:t>
      </w:r>
      <w:r w:rsidR="00B63995">
        <w:rPr>
          <w:rFonts w:asciiTheme="minorHAnsi" w:hAnsiTheme="minorHAnsi"/>
          <w:lang w:val="pl-PL"/>
        </w:rPr>
        <w:t xml:space="preserve">anej jednostki </w:t>
      </w:r>
      <w:r w:rsidRPr="00D31129">
        <w:rPr>
          <w:rFonts w:asciiTheme="minorHAnsi" w:hAnsiTheme="minorHAnsi"/>
          <w:lang w:val="pl-PL"/>
        </w:rPr>
        <w:t xml:space="preserve">świadczą o jego dużym poziomie degradacji. </w:t>
      </w:r>
    </w:p>
    <w:p w:rsidR="00656EE0" w:rsidRDefault="00656EE0" w:rsidP="00656EE0">
      <w:pPr>
        <w:pStyle w:val="Tekstpodstawowy"/>
        <w:ind w:right="-25"/>
        <w:jc w:val="both"/>
        <w:rPr>
          <w:rFonts w:asciiTheme="minorHAnsi" w:hAnsiTheme="minorHAnsi"/>
          <w:lang w:val="pl-PL"/>
        </w:rPr>
      </w:pPr>
      <w:r>
        <w:rPr>
          <w:rFonts w:asciiTheme="minorHAnsi" w:hAnsiTheme="minorHAnsi"/>
          <w:lang w:val="pl-PL"/>
        </w:rPr>
        <w:t>Jako obszar zdegradowany</w:t>
      </w:r>
      <w:r w:rsidRPr="00D31129">
        <w:rPr>
          <w:rFonts w:asciiTheme="minorHAnsi" w:hAnsiTheme="minorHAnsi"/>
          <w:lang w:val="pl-PL"/>
        </w:rPr>
        <w:t xml:space="preserve"> wskazuje się wszystkie jednostki analityczne</w:t>
      </w:r>
      <w:r>
        <w:rPr>
          <w:rFonts w:asciiTheme="minorHAnsi" w:hAnsiTheme="minorHAnsi"/>
          <w:lang w:val="pl-PL"/>
        </w:rPr>
        <w:t>, które mają wartość dodatnią w </w:t>
      </w:r>
      <w:r w:rsidRPr="00D31129">
        <w:rPr>
          <w:rFonts w:asciiTheme="minorHAnsi" w:hAnsiTheme="minorHAnsi"/>
          <w:lang w:val="pl-PL"/>
        </w:rPr>
        <w:t>sferze społecznej oraz co najmniej wartość dodatnią w jednej z pozostałych sfer.</w:t>
      </w:r>
      <w:r>
        <w:rPr>
          <w:rFonts w:asciiTheme="minorHAnsi" w:hAnsiTheme="minorHAnsi"/>
          <w:lang w:val="pl-PL"/>
        </w:rPr>
        <w:t xml:space="preserve"> </w:t>
      </w:r>
    </w:p>
    <w:p w:rsidR="00656EE0" w:rsidRDefault="00656EE0" w:rsidP="00656EE0">
      <w:pPr>
        <w:pStyle w:val="Tekstpodstawowy"/>
        <w:ind w:right="-25"/>
        <w:jc w:val="both"/>
        <w:rPr>
          <w:rFonts w:asciiTheme="minorHAnsi" w:hAnsiTheme="minorHAnsi"/>
          <w:lang w:val="pl-PL"/>
        </w:rPr>
      </w:pPr>
      <w:r>
        <w:rPr>
          <w:rFonts w:asciiTheme="minorHAnsi" w:hAnsiTheme="minorHAnsi"/>
          <w:lang w:val="pl-PL"/>
        </w:rPr>
        <w:t xml:space="preserve">Za obszar zdegradowany uznano Lesko, które oprócz dodatnich wskaźników w sferze społecznej charakteryzuje się również tym, iż jest to obszar o strategicznym znaczeniu dla rozwoju gminy.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895"/>
        <w:gridCol w:w="1869"/>
        <w:gridCol w:w="2342"/>
        <w:gridCol w:w="2106"/>
      </w:tblGrid>
      <w:tr w:rsidR="00B63995" w:rsidRPr="007333B3" w:rsidTr="007333B3">
        <w:trPr>
          <w:trHeight w:val="20"/>
          <w:tblHeader/>
        </w:trPr>
        <w:tc>
          <w:tcPr>
            <w:tcW w:w="1571" w:type="pct"/>
            <w:shd w:val="clear" w:color="auto" w:fill="D9D9D9" w:themeFill="background1" w:themeFillShade="D9"/>
            <w:vAlign w:val="center"/>
            <w:hideMark/>
          </w:tcPr>
          <w:p w:rsidR="00656EE0" w:rsidRPr="007333B3" w:rsidRDefault="00656EE0" w:rsidP="007333B3">
            <w:pPr>
              <w:spacing w:after="0" w:line="240" w:lineRule="auto"/>
              <w:jc w:val="center"/>
              <w:rPr>
                <w:rFonts w:ascii="Calibri Light" w:eastAsia="Times New Roman" w:hAnsi="Calibri Light" w:cs="Calibri Light"/>
                <w:b/>
                <w:color w:val="000000"/>
                <w:sz w:val="20"/>
                <w:szCs w:val="20"/>
                <w:lang w:eastAsia="pl-PL"/>
              </w:rPr>
            </w:pPr>
            <w:r w:rsidRPr="007333B3">
              <w:rPr>
                <w:rFonts w:ascii="Calibri Light" w:eastAsia="Times New Roman" w:hAnsi="Calibri Light" w:cs="Calibri Light"/>
                <w:b/>
                <w:color w:val="000000"/>
                <w:sz w:val="20"/>
                <w:szCs w:val="20"/>
                <w:lang w:eastAsia="pl-PL"/>
              </w:rPr>
              <w:t>Miejscowość/ulice</w:t>
            </w:r>
          </w:p>
        </w:tc>
        <w:tc>
          <w:tcPr>
            <w:tcW w:w="1014" w:type="pct"/>
            <w:shd w:val="clear" w:color="auto" w:fill="D9D9D9" w:themeFill="background1" w:themeFillShade="D9"/>
            <w:vAlign w:val="center"/>
            <w:hideMark/>
          </w:tcPr>
          <w:p w:rsidR="00656EE0" w:rsidRPr="007333B3" w:rsidRDefault="00656EE0" w:rsidP="007333B3">
            <w:pPr>
              <w:spacing w:after="0" w:line="240" w:lineRule="auto"/>
              <w:jc w:val="center"/>
              <w:rPr>
                <w:rFonts w:ascii="Calibri Light" w:eastAsia="Times New Roman" w:hAnsi="Calibri Light" w:cs="Calibri Light"/>
                <w:b/>
                <w:color w:val="000000"/>
                <w:sz w:val="20"/>
                <w:szCs w:val="20"/>
                <w:lang w:eastAsia="pl-PL"/>
              </w:rPr>
            </w:pPr>
            <w:r w:rsidRPr="007333B3">
              <w:rPr>
                <w:rFonts w:ascii="Calibri Light" w:eastAsia="Times New Roman" w:hAnsi="Calibri Light" w:cs="Calibri Light"/>
                <w:b/>
                <w:color w:val="000000"/>
                <w:sz w:val="20"/>
                <w:szCs w:val="20"/>
                <w:lang w:eastAsia="pl-PL"/>
              </w:rPr>
              <w:t>Wskaźnik syntetyczna sfera społeczna</w:t>
            </w:r>
          </w:p>
        </w:tc>
        <w:tc>
          <w:tcPr>
            <w:tcW w:w="1271" w:type="pct"/>
            <w:shd w:val="clear" w:color="auto" w:fill="D9D9D9" w:themeFill="background1" w:themeFillShade="D9"/>
            <w:vAlign w:val="center"/>
            <w:hideMark/>
          </w:tcPr>
          <w:p w:rsidR="00656EE0" w:rsidRPr="007333B3" w:rsidRDefault="00656EE0" w:rsidP="007333B3">
            <w:pPr>
              <w:spacing w:after="0" w:line="240" w:lineRule="auto"/>
              <w:jc w:val="center"/>
              <w:rPr>
                <w:rFonts w:ascii="Calibri Light" w:eastAsia="Times New Roman" w:hAnsi="Calibri Light" w:cs="Calibri Light"/>
                <w:b/>
                <w:color w:val="000000"/>
                <w:sz w:val="20"/>
                <w:szCs w:val="20"/>
                <w:lang w:eastAsia="pl-PL"/>
              </w:rPr>
            </w:pPr>
            <w:r w:rsidRPr="007333B3">
              <w:rPr>
                <w:rFonts w:ascii="Calibri Light" w:eastAsia="Times New Roman" w:hAnsi="Calibri Light" w:cs="Calibri Light"/>
                <w:b/>
                <w:color w:val="000000"/>
                <w:sz w:val="20"/>
                <w:szCs w:val="20"/>
                <w:lang w:eastAsia="pl-PL"/>
              </w:rPr>
              <w:t>Wskaźnik syntetyczna sfera środowiskowa</w:t>
            </w:r>
          </w:p>
        </w:tc>
        <w:tc>
          <w:tcPr>
            <w:tcW w:w="1143" w:type="pct"/>
            <w:shd w:val="clear" w:color="auto" w:fill="D9D9D9" w:themeFill="background1" w:themeFillShade="D9"/>
            <w:vAlign w:val="center"/>
            <w:hideMark/>
          </w:tcPr>
          <w:p w:rsidR="00656EE0" w:rsidRPr="007333B3" w:rsidRDefault="00656EE0" w:rsidP="007333B3">
            <w:pPr>
              <w:spacing w:after="0" w:line="240" w:lineRule="auto"/>
              <w:jc w:val="center"/>
              <w:rPr>
                <w:rFonts w:ascii="Calibri Light" w:eastAsia="Times New Roman" w:hAnsi="Calibri Light" w:cs="Calibri Light"/>
                <w:b/>
                <w:color w:val="000000"/>
                <w:sz w:val="20"/>
                <w:szCs w:val="20"/>
                <w:lang w:eastAsia="pl-PL"/>
              </w:rPr>
            </w:pPr>
            <w:r w:rsidRPr="007333B3">
              <w:rPr>
                <w:rFonts w:ascii="Calibri Light" w:eastAsia="Times New Roman" w:hAnsi="Calibri Light" w:cs="Calibri Light"/>
                <w:b/>
                <w:color w:val="000000"/>
                <w:sz w:val="20"/>
                <w:szCs w:val="20"/>
                <w:lang w:eastAsia="pl-PL"/>
              </w:rPr>
              <w:t xml:space="preserve">Wskaźnik syntetyczna sfera </w:t>
            </w:r>
            <w:r w:rsidR="00B63995" w:rsidRPr="007333B3">
              <w:rPr>
                <w:rFonts w:ascii="Calibri Light" w:eastAsia="Times New Roman" w:hAnsi="Calibri Light" w:cs="Calibri Light"/>
                <w:b/>
                <w:color w:val="000000"/>
                <w:sz w:val="20"/>
                <w:szCs w:val="20"/>
                <w:lang w:eastAsia="pl-PL"/>
              </w:rPr>
              <w:t>gospodarcza</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Bachlawa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0,48</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Bezmiechowa  Dolna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-1,47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Bezmiechowa Górna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5,31</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0,56</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Dziurdziów</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-1,33</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0,75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0,40</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Glinne</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-0,04</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0,00</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Hoczew</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2,27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Huzele</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0,40</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Jankowce</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-0,76</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0,44</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0,25</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Łączki</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-1,98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Łukawica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-1,29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0,32</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proofErr w:type="spellStart"/>
            <w:r w:rsidRPr="00656EE0">
              <w:rPr>
                <w:rFonts w:ascii="Calibri Light" w:eastAsia="Times New Roman" w:hAnsi="Calibri Light" w:cs="Calibri Light"/>
                <w:color w:val="000000"/>
                <w:sz w:val="20"/>
                <w:szCs w:val="20"/>
                <w:lang w:eastAsia="pl-PL"/>
              </w:rPr>
              <w:t>Manasterzec</w:t>
            </w:r>
            <w:proofErr w:type="spellEnd"/>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0,03</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0,29</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0,35</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Postołów</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-0,05</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0,24</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Średnia Wieś</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0,05</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0,36</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Weremień</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-0,04</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Lesko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0,36</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1000-lecia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7,30</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lastRenderedPageBreak/>
              <w:t>Akacjowa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0,35</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Al. Jana Pawła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0,03</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Basztowa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-2,36</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Berka Joselewicza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5,58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0,32</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Bieszczadzka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8,89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-0,19</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Broniewskiego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-1,15</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-0,22</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0,40</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Fredry</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-1,91</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Grunwaldzka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1,04</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0,02</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Jesionowa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0,19</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Kazimierza Wielkiego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3,99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Kochanowskiego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-0,53</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-1,29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Konopnickiej</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6,08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Kościuszki</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-1,39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-0,23</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Krasickich</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Kwiatowa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4,47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-0,18</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Łazienna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Mickiewicza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Moniuszki</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Ogrodowa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Osiedlowa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-1,66</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-0,03</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Ossolińskich</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-1,68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-0,15</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Parkowa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20,85</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Pieski Świat</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-2,45</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Piłsudskiego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-1,46</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Piotra Kmity</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-1,21</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0,45</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 xml:space="preserve">Plac </w:t>
            </w:r>
            <w:proofErr w:type="spellStart"/>
            <w:r w:rsidRPr="00656EE0">
              <w:rPr>
                <w:rFonts w:ascii="Calibri Light" w:eastAsia="Times New Roman" w:hAnsi="Calibri Light" w:cs="Calibri Light"/>
                <w:color w:val="000000"/>
                <w:sz w:val="20"/>
                <w:szCs w:val="20"/>
                <w:lang w:eastAsia="pl-PL"/>
              </w:rPr>
              <w:t>Konst</w:t>
            </w:r>
            <w:proofErr w:type="spellEnd"/>
            <w:r w:rsidRPr="00656EE0">
              <w:rPr>
                <w:rFonts w:ascii="Calibri Light" w:eastAsia="Times New Roman" w:hAnsi="Calibri Light" w:cs="Calibri Light"/>
                <w:color w:val="000000"/>
                <w:sz w:val="20"/>
                <w:szCs w:val="20"/>
                <w:lang w:eastAsia="pl-PL"/>
              </w:rPr>
              <w:t>. 3 Maja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-0,24</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Plac Pułaskiego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-3,56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Podgórska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0,02</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Przemysłowa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-2,62</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-5,76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Rynek</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-1,09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proofErr w:type="spellStart"/>
            <w:r w:rsidRPr="00656EE0">
              <w:rPr>
                <w:rFonts w:ascii="Calibri Light" w:eastAsia="Times New Roman" w:hAnsi="Calibri Light" w:cs="Calibri Light"/>
                <w:color w:val="000000"/>
                <w:sz w:val="20"/>
                <w:szCs w:val="20"/>
                <w:lang w:eastAsia="pl-PL"/>
              </w:rPr>
              <w:t>Sanowa</w:t>
            </w:r>
            <w:proofErr w:type="spellEnd"/>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0,69</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Sienkiewicza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0,49</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Słoneczna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0,06</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Słowackiego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-2,02</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-0,28</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Smolki</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-0,53</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0,57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Spacerowa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Stawowa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4,99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0,47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Szopena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Śliżyńskiego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-1,98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-0,24</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Turystyczna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7,85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-1,82</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Unii Brzeskiej</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4,43</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-0,25</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Waryńskiego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-1,61</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-0,28</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Widokowa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0,02</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Wiejska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0,38</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Wierzbowa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0,84</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-1,03</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Wincentego Pola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-0,38</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-0,13</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Wincentego Witosa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4,91</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-0,93</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Wolańska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-0,77</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Wspólna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Wyspiańskiego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proofErr w:type="spellStart"/>
            <w:r w:rsidRPr="00656EE0">
              <w:rPr>
                <w:rFonts w:ascii="Calibri Light" w:eastAsia="Times New Roman" w:hAnsi="Calibri Light" w:cs="Calibri Light"/>
                <w:color w:val="000000"/>
                <w:sz w:val="20"/>
                <w:szCs w:val="20"/>
                <w:lang w:eastAsia="pl-PL"/>
              </w:rPr>
              <w:t>Zasanie</w:t>
            </w:r>
            <w:proofErr w:type="spellEnd"/>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Zielona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0,87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Zygmunta Kaczkowskiego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-0,79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-0,21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0,07</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Źródlana</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-2,19</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0,32</w:t>
            </w:r>
          </w:p>
        </w:tc>
      </w:tr>
      <w:tr w:rsidR="00B63995" w:rsidRPr="00656EE0" w:rsidTr="00B63995">
        <w:trPr>
          <w:trHeight w:val="20"/>
        </w:trPr>
        <w:tc>
          <w:tcPr>
            <w:tcW w:w="1571" w:type="pct"/>
            <w:shd w:val="clear" w:color="auto" w:fill="FFFFFF" w:themeFill="background1"/>
            <w:vAlign w:val="center"/>
            <w:hideMark/>
          </w:tcPr>
          <w:p w:rsidR="00656EE0" w:rsidRPr="00656EE0" w:rsidRDefault="00656EE0" w:rsidP="00656EE0">
            <w:pPr>
              <w:spacing w:after="0" w:line="240" w:lineRule="auto"/>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Żeromskiego</w:t>
            </w:r>
          </w:p>
        </w:tc>
        <w:tc>
          <w:tcPr>
            <w:tcW w:w="1014"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-1,84</w:t>
            </w:r>
          </w:p>
        </w:tc>
        <w:tc>
          <w:tcPr>
            <w:tcW w:w="1271"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-0,01</w:t>
            </w:r>
          </w:p>
        </w:tc>
        <w:tc>
          <w:tcPr>
            <w:tcW w:w="1143" w:type="pct"/>
            <w:shd w:val="clear" w:color="auto" w:fill="FFFFFF" w:themeFill="background1"/>
            <w:vAlign w:val="center"/>
            <w:hideMark/>
          </w:tcPr>
          <w:p w:rsidR="00656EE0" w:rsidRPr="00656EE0" w:rsidRDefault="00656EE0" w:rsidP="00656EE0">
            <w:pPr>
              <w:spacing w:after="0" w:line="240" w:lineRule="auto"/>
              <w:jc w:val="right"/>
              <w:rPr>
                <w:rFonts w:ascii="Calibri Light" w:eastAsia="Times New Roman" w:hAnsi="Calibri Light" w:cs="Calibri Light"/>
                <w:color w:val="000000"/>
                <w:sz w:val="20"/>
                <w:szCs w:val="20"/>
                <w:lang w:eastAsia="pl-PL"/>
              </w:rPr>
            </w:pPr>
            <w:r w:rsidRPr="00656EE0">
              <w:rPr>
                <w:rFonts w:ascii="Calibri Light" w:eastAsia="Times New Roman" w:hAnsi="Calibri Light" w:cs="Calibri Light"/>
                <w:color w:val="000000"/>
                <w:sz w:val="20"/>
                <w:szCs w:val="20"/>
                <w:lang w:eastAsia="pl-PL"/>
              </w:rPr>
              <w:t>0,61</w:t>
            </w:r>
          </w:p>
        </w:tc>
      </w:tr>
    </w:tbl>
    <w:p w:rsidR="007333B3" w:rsidRDefault="007333B3" w:rsidP="00656EE0">
      <w:pPr>
        <w:tabs>
          <w:tab w:val="left" w:pos="1394"/>
        </w:tabs>
        <w:jc w:val="both"/>
      </w:pPr>
      <w:r>
        <w:rPr>
          <w:noProof/>
          <w:lang w:eastAsia="pl-PL"/>
        </w:rPr>
        <w:lastRenderedPageBreak/>
        <w:drawing>
          <wp:inline distT="0" distB="0" distL="0" distR="0" wp14:anchorId="60BA457A" wp14:editId="510E281D">
            <wp:extent cx="5760720" cy="4073416"/>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4073416"/>
                    </a:xfrm>
                    <a:prstGeom prst="rect">
                      <a:avLst/>
                    </a:prstGeom>
                  </pic:spPr>
                </pic:pic>
              </a:graphicData>
            </a:graphic>
          </wp:inline>
        </w:drawing>
      </w:r>
    </w:p>
    <w:p w:rsidR="00656EE0" w:rsidRDefault="00656EE0" w:rsidP="00656EE0">
      <w:pPr>
        <w:tabs>
          <w:tab w:val="left" w:pos="1394"/>
        </w:tabs>
        <w:jc w:val="both"/>
      </w:pPr>
      <w:r w:rsidRPr="00D31129">
        <w:t xml:space="preserve">Jako obszary rewitalizacji wskazuje się jednostki analityczne, które </w:t>
      </w:r>
      <w:r>
        <w:t>znajdują się w granicach obszaru zdegradowanego, odznaczają się kumulacją negatywnych zjawisk w sferze społecznej oraz dodatkowo w jednej ze sfer, a także mają szczególnie duże znaczenie dla rozwoju gminy</w:t>
      </w:r>
      <w:r w:rsidRPr="00D31129">
        <w:t>.</w:t>
      </w:r>
      <w:r>
        <w:t xml:space="preserve"> </w:t>
      </w:r>
      <w:r w:rsidR="00B63995">
        <w:t xml:space="preserve">Do wyznaczenia obszaru rewitalizacji przyjęto, że liczba wskaźników w sferze społecznej musi być co najmniej 3 oraz musi występować degradacja w jednej ze sfer pozostałych. Dodatkowo kierowano się </w:t>
      </w:r>
      <w:r w:rsidR="009E7F20">
        <w:t>tym, aby obszar był spójny przestrzennie. Dlatego też jako obszar wskazano następujące ulice zamieszczone w poniższej tabeli.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7"/>
        <w:gridCol w:w="1771"/>
        <w:gridCol w:w="2156"/>
        <w:gridCol w:w="1918"/>
      </w:tblGrid>
      <w:tr w:rsidR="009E7F20" w:rsidRPr="009E7F20" w:rsidTr="007333B3">
        <w:trPr>
          <w:trHeight w:val="20"/>
        </w:trPr>
        <w:tc>
          <w:tcPr>
            <w:tcW w:w="1827" w:type="pct"/>
            <w:shd w:val="clear" w:color="auto" w:fill="D9D9D9" w:themeFill="background1" w:themeFillShade="D9"/>
            <w:vAlign w:val="center"/>
            <w:hideMark/>
          </w:tcPr>
          <w:p w:rsidR="009E7F20" w:rsidRPr="007333B3" w:rsidRDefault="009E7F20" w:rsidP="007333B3">
            <w:pPr>
              <w:spacing w:after="0" w:line="240" w:lineRule="auto"/>
              <w:jc w:val="center"/>
              <w:rPr>
                <w:rFonts w:ascii="Calibri" w:eastAsia="Times New Roman" w:hAnsi="Calibri" w:cs="Calibri"/>
                <w:b/>
                <w:color w:val="000000"/>
                <w:lang w:eastAsia="pl-PL"/>
              </w:rPr>
            </w:pPr>
            <w:r w:rsidRPr="007333B3">
              <w:rPr>
                <w:rFonts w:ascii="Calibri" w:eastAsia="Times New Roman" w:hAnsi="Calibri" w:cs="Calibri"/>
                <w:b/>
                <w:color w:val="000000"/>
                <w:lang w:eastAsia="pl-PL"/>
              </w:rPr>
              <w:t>Miejscowość/ulice</w:t>
            </w:r>
          </w:p>
        </w:tc>
        <w:tc>
          <w:tcPr>
            <w:tcW w:w="961" w:type="pct"/>
            <w:shd w:val="clear" w:color="auto" w:fill="D9D9D9" w:themeFill="background1" w:themeFillShade="D9"/>
            <w:vAlign w:val="center"/>
            <w:hideMark/>
          </w:tcPr>
          <w:p w:rsidR="009E7F20" w:rsidRPr="007333B3" w:rsidRDefault="009E7F20" w:rsidP="007333B3">
            <w:pPr>
              <w:spacing w:after="0" w:line="240" w:lineRule="auto"/>
              <w:jc w:val="center"/>
              <w:rPr>
                <w:rFonts w:ascii="Calibri" w:eastAsia="Times New Roman" w:hAnsi="Calibri" w:cs="Calibri"/>
                <w:b/>
                <w:color w:val="000000"/>
                <w:lang w:eastAsia="pl-PL"/>
              </w:rPr>
            </w:pPr>
            <w:r w:rsidRPr="007333B3">
              <w:rPr>
                <w:rFonts w:ascii="Calibri" w:eastAsia="Times New Roman" w:hAnsi="Calibri" w:cs="Calibri"/>
                <w:b/>
                <w:color w:val="000000"/>
                <w:lang w:eastAsia="pl-PL"/>
              </w:rPr>
              <w:t>Liczba wskaźników gorszych niż średnia w sferze społecznej</w:t>
            </w:r>
          </w:p>
        </w:tc>
        <w:tc>
          <w:tcPr>
            <w:tcW w:w="1170" w:type="pct"/>
            <w:shd w:val="clear" w:color="auto" w:fill="D9D9D9" w:themeFill="background1" w:themeFillShade="D9"/>
            <w:vAlign w:val="center"/>
            <w:hideMark/>
          </w:tcPr>
          <w:p w:rsidR="009E7F20" w:rsidRPr="007333B3" w:rsidRDefault="009E7F20" w:rsidP="007333B3">
            <w:pPr>
              <w:spacing w:after="0" w:line="240" w:lineRule="auto"/>
              <w:jc w:val="center"/>
              <w:rPr>
                <w:rFonts w:ascii="Calibri" w:eastAsia="Times New Roman" w:hAnsi="Calibri" w:cs="Calibri"/>
                <w:b/>
                <w:color w:val="000000"/>
                <w:lang w:eastAsia="pl-PL"/>
              </w:rPr>
            </w:pPr>
            <w:r w:rsidRPr="007333B3">
              <w:rPr>
                <w:rFonts w:ascii="Calibri" w:eastAsia="Times New Roman" w:hAnsi="Calibri" w:cs="Calibri"/>
                <w:b/>
                <w:color w:val="000000"/>
                <w:lang w:eastAsia="pl-PL"/>
              </w:rPr>
              <w:t>Liczba wskaźników gorszych niż średnia w sferze środowiskowej</w:t>
            </w:r>
          </w:p>
        </w:tc>
        <w:tc>
          <w:tcPr>
            <w:tcW w:w="1041" w:type="pct"/>
            <w:shd w:val="clear" w:color="auto" w:fill="D9D9D9" w:themeFill="background1" w:themeFillShade="D9"/>
            <w:vAlign w:val="center"/>
            <w:hideMark/>
          </w:tcPr>
          <w:p w:rsidR="009E7F20" w:rsidRPr="007333B3" w:rsidRDefault="009E7F20" w:rsidP="007333B3">
            <w:pPr>
              <w:spacing w:after="0" w:line="240" w:lineRule="auto"/>
              <w:jc w:val="center"/>
              <w:rPr>
                <w:rFonts w:ascii="Calibri" w:eastAsia="Times New Roman" w:hAnsi="Calibri" w:cs="Calibri"/>
                <w:b/>
                <w:color w:val="000000"/>
                <w:lang w:eastAsia="pl-PL"/>
              </w:rPr>
            </w:pPr>
            <w:r w:rsidRPr="007333B3">
              <w:rPr>
                <w:rFonts w:ascii="Calibri" w:eastAsia="Times New Roman" w:hAnsi="Calibri" w:cs="Calibri"/>
                <w:b/>
                <w:color w:val="000000"/>
                <w:lang w:eastAsia="pl-PL"/>
              </w:rPr>
              <w:t>Liczba wskaźników gorszych niż średnia w sferze gospodarczej</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1000-lecia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7</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Berka Joselewicza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6</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Grunwaldzka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6</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Kazimierza Wielkiego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Konopnickiej</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Kościuszki</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Krasickich</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Łazienna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Mickiewicza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4</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Moniuszki</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Ossolińskich</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Parkowa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5</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Piłsudskiego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Piotra Kmity</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5</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 xml:space="preserve">Plac </w:t>
            </w:r>
            <w:proofErr w:type="spellStart"/>
            <w:r w:rsidRPr="009E7F20">
              <w:rPr>
                <w:rFonts w:ascii="Calibri" w:eastAsia="Times New Roman" w:hAnsi="Calibri" w:cs="Calibri"/>
                <w:color w:val="000000"/>
                <w:lang w:eastAsia="pl-PL"/>
              </w:rPr>
              <w:t>Konst</w:t>
            </w:r>
            <w:proofErr w:type="spellEnd"/>
            <w:r w:rsidRPr="009E7F20">
              <w:rPr>
                <w:rFonts w:ascii="Calibri" w:eastAsia="Times New Roman" w:hAnsi="Calibri" w:cs="Calibri"/>
                <w:color w:val="000000"/>
                <w:lang w:eastAsia="pl-PL"/>
              </w:rPr>
              <w:t>. 3 Maja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7</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Rynek</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6</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Sienkiewicza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Słowackiego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Smolki</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6</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1</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Śliżyńskiego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Waryńskiego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3</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Wincentego Pola</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2</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r w:rsidR="009E7F20" w:rsidRPr="009E7F20" w:rsidTr="009E7F20">
        <w:trPr>
          <w:trHeight w:val="20"/>
        </w:trPr>
        <w:tc>
          <w:tcPr>
            <w:tcW w:w="1827" w:type="pct"/>
            <w:shd w:val="clear" w:color="auto" w:fill="auto"/>
            <w:noWrap/>
            <w:vAlign w:val="bottom"/>
            <w:hideMark/>
          </w:tcPr>
          <w:p w:rsidR="009E7F20" w:rsidRPr="009E7F20" w:rsidRDefault="009E7F20" w:rsidP="009E7F20">
            <w:pPr>
              <w:spacing w:after="0" w:line="240" w:lineRule="auto"/>
              <w:rPr>
                <w:rFonts w:ascii="Calibri" w:eastAsia="Times New Roman" w:hAnsi="Calibri" w:cs="Calibri"/>
                <w:color w:val="000000"/>
                <w:lang w:eastAsia="pl-PL"/>
              </w:rPr>
            </w:pPr>
            <w:r w:rsidRPr="009E7F20">
              <w:rPr>
                <w:rFonts w:ascii="Calibri" w:eastAsia="Times New Roman" w:hAnsi="Calibri" w:cs="Calibri"/>
                <w:color w:val="000000"/>
                <w:lang w:eastAsia="pl-PL"/>
              </w:rPr>
              <w:t>Zygmunta Kaczkowskiego</w:t>
            </w:r>
          </w:p>
        </w:tc>
        <w:tc>
          <w:tcPr>
            <w:tcW w:w="96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6</w:t>
            </w:r>
          </w:p>
        </w:tc>
        <w:tc>
          <w:tcPr>
            <w:tcW w:w="1170"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c>
          <w:tcPr>
            <w:tcW w:w="1041" w:type="pct"/>
            <w:shd w:val="clear" w:color="auto" w:fill="auto"/>
            <w:noWrap/>
            <w:vAlign w:val="bottom"/>
            <w:hideMark/>
          </w:tcPr>
          <w:p w:rsidR="009E7F20" w:rsidRPr="009E7F20" w:rsidRDefault="009E7F20" w:rsidP="009E7F20">
            <w:pPr>
              <w:spacing w:after="0" w:line="240" w:lineRule="auto"/>
              <w:jc w:val="right"/>
              <w:rPr>
                <w:rFonts w:ascii="Calibri" w:eastAsia="Times New Roman" w:hAnsi="Calibri" w:cs="Calibri"/>
                <w:color w:val="000000"/>
                <w:lang w:eastAsia="pl-PL"/>
              </w:rPr>
            </w:pPr>
            <w:r w:rsidRPr="009E7F20">
              <w:rPr>
                <w:rFonts w:ascii="Calibri" w:eastAsia="Times New Roman" w:hAnsi="Calibri" w:cs="Calibri"/>
                <w:color w:val="000000"/>
                <w:lang w:eastAsia="pl-PL"/>
              </w:rPr>
              <w:t>0</w:t>
            </w:r>
          </w:p>
        </w:tc>
      </w:tr>
    </w:tbl>
    <w:p w:rsidR="009E7F20" w:rsidRDefault="009E7F20" w:rsidP="00656EE0">
      <w:pPr>
        <w:tabs>
          <w:tab w:val="left" w:pos="1394"/>
        </w:tabs>
        <w:jc w:val="both"/>
        <w:rPr>
          <w:color w:val="004999"/>
        </w:rPr>
      </w:pPr>
    </w:p>
    <w:p w:rsidR="0031797C" w:rsidRDefault="007333B3" w:rsidP="007333B3">
      <w:pPr>
        <w:jc w:val="center"/>
      </w:pPr>
      <w:r>
        <w:rPr>
          <w:noProof/>
          <w:lang w:eastAsia="pl-PL"/>
        </w:rPr>
        <w:drawing>
          <wp:inline distT="0" distB="0" distL="0" distR="0" wp14:anchorId="150AE4FE" wp14:editId="30AF9B47">
            <wp:extent cx="6000289" cy="4242816"/>
            <wp:effectExtent l="0" t="0" r="635" b="571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09384" cy="4249247"/>
                    </a:xfrm>
                    <a:prstGeom prst="rect">
                      <a:avLst/>
                    </a:prstGeom>
                  </pic:spPr>
                </pic:pic>
              </a:graphicData>
            </a:graphic>
          </wp:inline>
        </w:drawing>
      </w:r>
    </w:p>
    <w:sectPr w:rsidR="0031797C">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3B3" w:rsidRDefault="007333B3" w:rsidP="007333B3">
      <w:pPr>
        <w:spacing w:after="0" w:line="240" w:lineRule="auto"/>
      </w:pPr>
      <w:r>
        <w:separator/>
      </w:r>
    </w:p>
  </w:endnote>
  <w:endnote w:type="continuationSeparator" w:id="0">
    <w:p w:rsidR="007333B3" w:rsidRDefault="007333B3" w:rsidP="0073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altName w:val="Arial"/>
    <w:charset w:val="EE"/>
    <w:family w:val="swiss"/>
    <w:pitch w:val="variable"/>
    <w:sig w:usb0="00000000"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447543"/>
      <w:docPartObj>
        <w:docPartGallery w:val="Page Numbers (Bottom of Page)"/>
        <w:docPartUnique/>
      </w:docPartObj>
    </w:sdtPr>
    <w:sdtContent>
      <w:p w:rsidR="007333B3" w:rsidRDefault="007333B3">
        <w:pPr>
          <w:pStyle w:val="Stopka"/>
          <w:jc w:val="right"/>
        </w:pPr>
        <w:r>
          <w:fldChar w:fldCharType="begin"/>
        </w:r>
        <w:r>
          <w:instrText>PAGE   \* MERGEFORMAT</w:instrText>
        </w:r>
        <w:r>
          <w:fldChar w:fldCharType="separate"/>
        </w:r>
        <w:r>
          <w:rPr>
            <w:noProof/>
          </w:rPr>
          <w:t>1</w:t>
        </w:r>
        <w:r>
          <w:fldChar w:fldCharType="end"/>
        </w:r>
      </w:p>
    </w:sdtContent>
  </w:sdt>
  <w:p w:rsidR="007333B3" w:rsidRDefault="007333B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3B3" w:rsidRDefault="007333B3" w:rsidP="007333B3">
      <w:pPr>
        <w:spacing w:after="0" w:line="240" w:lineRule="auto"/>
      </w:pPr>
      <w:r>
        <w:separator/>
      </w:r>
    </w:p>
  </w:footnote>
  <w:footnote w:type="continuationSeparator" w:id="0">
    <w:p w:rsidR="007333B3" w:rsidRDefault="007333B3" w:rsidP="007333B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97C"/>
    <w:rsid w:val="00051CA8"/>
    <w:rsid w:val="0031797C"/>
    <w:rsid w:val="0036064E"/>
    <w:rsid w:val="003C4BD3"/>
    <w:rsid w:val="005E35C5"/>
    <w:rsid w:val="00656EE0"/>
    <w:rsid w:val="007333B3"/>
    <w:rsid w:val="009C0699"/>
    <w:rsid w:val="009E7F20"/>
    <w:rsid w:val="00B63995"/>
    <w:rsid w:val="00D63D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179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1797C"/>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1"/>
    <w:unhideWhenUsed/>
    <w:qFormat/>
    <w:rsid w:val="00656EE0"/>
    <w:pPr>
      <w:widowControl w:val="0"/>
      <w:spacing w:after="120" w:line="240" w:lineRule="auto"/>
    </w:pPr>
    <w:rPr>
      <w:rFonts w:ascii="Calibri" w:eastAsia="Calibri" w:hAnsi="Calibri" w:cs="Calibri"/>
      <w:lang w:val="en-US"/>
    </w:rPr>
  </w:style>
  <w:style w:type="character" w:customStyle="1" w:styleId="TekstpodstawowyZnak">
    <w:name w:val="Tekst podstawowy Znak"/>
    <w:basedOn w:val="Domylnaczcionkaakapitu"/>
    <w:link w:val="Tekstpodstawowy"/>
    <w:uiPriority w:val="1"/>
    <w:rsid w:val="00656EE0"/>
    <w:rPr>
      <w:rFonts w:ascii="Calibri" w:eastAsia="Calibri" w:hAnsi="Calibri" w:cs="Calibri"/>
      <w:lang w:val="en-US"/>
    </w:rPr>
  </w:style>
  <w:style w:type="paragraph" w:styleId="Tekstdymka">
    <w:name w:val="Balloon Text"/>
    <w:basedOn w:val="Normalny"/>
    <w:link w:val="TekstdymkaZnak"/>
    <w:uiPriority w:val="99"/>
    <w:semiHidden/>
    <w:unhideWhenUsed/>
    <w:rsid w:val="005E35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35C5"/>
    <w:rPr>
      <w:rFonts w:ascii="Tahoma" w:hAnsi="Tahoma" w:cs="Tahoma"/>
      <w:sz w:val="16"/>
      <w:szCs w:val="16"/>
    </w:rPr>
  </w:style>
  <w:style w:type="paragraph" w:styleId="Nagwek">
    <w:name w:val="header"/>
    <w:basedOn w:val="Normalny"/>
    <w:link w:val="NagwekZnak"/>
    <w:uiPriority w:val="99"/>
    <w:unhideWhenUsed/>
    <w:rsid w:val="007333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33B3"/>
  </w:style>
  <w:style w:type="paragraph" w:styleId="Stopka">
    <w:name w:val="footer"/>
    <w:basedOn w:val="Normalny"/>
    <w:link w:val="StopkaZnak"/>
    <w:uiPriority w:val="99"/>
    <w:unhideWhenUsed/>
    <w:rsid w:val="007333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33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179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1797C"/>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1"/>
    <w:unhideWhenUsed/>
    <w:qFormat/>
    <w:rsid w:val="00656EE0"/>
    <w:pPr>
      <w:widowControl w:val="0"/>
      <w:spacing w:after="120" w:line="240" w:lineRule="auto"/>
    </w:pPr>
    <w:rPr>
      <w:rFonts w:ascii="Calibri" w:eastAsia="Calibri" w:hAnsi="Calibri" w:cs="Calibri"/>
      <w:lang w:val="en-US"/>
    </w:rPr>
  </w:style>
  <w:style w:type="character" w:customStyle="1" w:styleId="TekstpodstawowyZnak">
    <w:name w:val="Tekst podstawowy Znak"/>
    <w:basedOn w:val="Domylnaczcionkaakapitu"/>
    <w:link w:val="Tekstpodstawowy"/>
    <w:uiPriority w:val="1"/>
    <w:rsid w:val="00656EE0"/>
    <w:rPr>
      <w:rFonts w:ascii="Calibri" w:eastAsia="Calibri" w:hAnsi="Calibri" w:cs="Calibri"/>
      <w:lang w:val="en-US"/>
    </w:rPr>
  </w:style>
  <w:style w:type="paragraph" w:styleId="Tekstdymka">
    <w:name w:val="Balloon Text"/>
    <w:basedOn w:val="Normalny"/>
    <w:link w:val="TekstdymkaZnak"/>
    <w:uiPriority w:val="99"/>
    <w:semiHidden/>
    <w:unhideWhenUsed/>
    <w:rsid w:val="005E35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35C5"/>
    <w:rPr>
      <w:rFonts w:ascii="Tahoma" w:hAnsi="Tahoma" w:cs="Tahoma"/>
      <w:sz w:val="16"/>
      <w:szCs w:val="16"/>
    </w:rPr>
  </w:style>
  <w:style w:type="paragraph" w:styleId="Nagwek">
    <w:name w:val="header"/>
    <w:basedOn w:val="Normalny"/>
    <w:link w:val="NagwekZnak"/>
    <w:uiPriority w:val="99"/>
    <w:unhideWhenUsed/>
    <w:rsid w:val="007333B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33B3"/>
  </w:style>
  <w:style w:type="paragraph" w:styleId="Stopka">
    <w:name w:val="footer"/>
    <w:basedOn w:val="Normalny"/>
    <w:link w:val="StopkaZnak"/>
    <w:uiPriority w:val="99"/>
    <w:unhideWhenUsed/>
    <w:rsid w:val="007333B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33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82899">
      <w:bodyDiv w:val="1"/>
      <w:marLeft w:val="0"/>
      <w:marRight w:val="0"/>
      <w:marTop w:val="0"/>
      <w:marBottom w:val="0"/>
      <w:divBdr>
        <w:top w:val="none" w:sz="0" w:space="0" w:color="auto"/>
        <w:left w:val="none" w:sz="0" w:space="0" w:color="auto"/>
        <w:bottom w:val="none" w:sz="0" w:space="0" w:color="auto"/>
        <w:right w:val="none" w:sz="0" w:space="0" w:color="auto"/>
      </w:divBdr>
    </w:div>
    <w:div w:id="91963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744</Words>
  <Characters>4468</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Romańczuk</dc:creator>
  <cp:lastModifiedBy>pawel</cp:lastModifiedBy>
  <cp:revision>4</cp:revision>
  <dcterms:created xsi:type="dcterms:W3CDTF">2017-05-23T11:16:00Z</dcterms:created>
  <dcterms:modified xsi:type="dcterms:W3CDTF">2017-05-23T13:56:00Z</dcterms:modified>
</cp:coreProperties>
</file>